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Перечень утвержден Комитетом</w:t>
      </w:r>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по банковским продуктам и процессам</w:t>
      </w:r>
      <w:r>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и качеству обслуживания</w:t>
      </w:r>
    </w:p>
    <w:p w14:paraId="5ED12A04"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(Протокол №31 от 07.09.2018 г.</w:t>
      </w:r>
      <w:r>
        <w:rPr>
          <w:rFonts w:ascii="Times New Roman" w:eastAsia="Times New Roman" w:hAnsi="Times New Roman" w:cs="Times New Roman"/>
          <w:color w:val="000000"/>
          <w:sz w:val="24"/>
          <w:szCs w:val="24"/>
          <w:lang w:eastAsia="ru-RU"/>
        </w:rPr>
        <w:t>)</w:t>
      </w:r>
    </w:p>
    <w:p w14:paraId="35F55E2B" w14:textId="658937B3" w:rsidR="004B1184" w:rsidRDefault="00DC029B"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Вводится в действие с 07.09.</w:t>
      </w:r>
      <w:r w:rsidRPr="00DC029B">
        <w:rPr>
          <w:rFonts w:ascii="Times New Roman" w:eastAsia="Times New Roman" w:hAnsi="Times New Roman" w:cs="Times New Roman"/>
          <w:color w:val="000000"/>
          <w:sz w:val="24"/>
          <w:szCs w:val="24"/>
          <w:lang w:eastAsia="ru-RU"/>
        </w:rPr>
        <w:t>2018г</w:t>
      </w:r>
      <w:r w:rsidR="002D5376">
        <w:rPr>
          <w:rFonts w:ascii="Times New Roman" w:eastAsia="Times New Roman" w:hAnsi="Times New Roman" w:cs="Times New Roman"/>
          <w:color w:val="000000"/>
          <w:sz w:val="24"/>
          <w:szCs w:val="24"/>
          <w:lang w:eastAsia="ru-RU"/>
        </w:rPr>
        <w:t>.</w:t>
      </w:r>
    </w:p>
    <w:p w14:paraId="492D5626" w14:textId="77777777" w:rsidR="00E967C1" w:rsidRPr="00E967C1" w:rsidRDefault="00E967C1" w:rsidP="00E967C1">
      <w:pPr>
        <w:spacing w:after="0"/>
        <w:jc w:val="right"/>
        <w:rPr>
          <w:rFonts w:ascii="Times New Roman" w:hAnsi="Times New Roman" w:cs="Times New Roman"/>
          <w:color w:val="00B0F0"/>
        </w:rPr>
      </w:pPr>
      <w:r w:rsidRPr="00E967C1">
        <w:rPr>
          <w:rFonts w:ascii="Times New Roman" w:hAnsi="Times New Roman" w:cs="Times New Roman"/>
          <w:color w:val="00B0F0"/>
        </w:rPr>
        <w:t>(учетом изменений в соответствии с</w:t>
      </w:r>
    </w:p>
    <w:p w14:paraId="15837CB2" w14:textId="6B4EDB40" w:rsidR="00E967C1" w:rsidRDefault="00E967C1" w:rsidP="00D76E0C">
      <w:pPr>
        <w:spacing w:after="0"/>
        <w:jc w:val="right"/>
        <w:rPr>
          <w:rFonts w:ascii="Times New Roman" w:hAnsi="Times New Roman" w:cs="Times New Roman"/>
          <w:color w:val="00B0F0"/>
        </w:rPr>
      </w:pPr>
      <w:r w:rsidRPr="00E967C1">
        <w:rPr>
          <w:rFonts w:ascii="Times New Roman" w:hAnsi="Times New Roman" w:cs="Times New Roman"/>
          <w:color w:val="00B0F0"/>
        </w:rPr>
        <w:t xml:space="preserve"> протоколом №П64-2025 от 28.11.2025 г)</w:t>
      </w:r>
    </w:p>
    <w:p w14:paraId="05E2EC74" w14:textId="68635121" w:rsidR="00D76E0C" w:rsidRPr="00E967C1" w:rsidRDefault="00D76E0C" w:rsidP="004B1184">
      <w:pPr>
        <w:spacing w:after="120"/>
        <w:jc w:val="right"/>
        <w:rPr>
          <w:rFonts w:ascii="Times New Roman" w:hAnsi="Times New Roman" w:cs="Times New Roman"/>
          <w:color w:val="00B0F0"/>
        </w:rPr>
      </w:pPr>
      <w:r>
        <w:rPr>
          <w:rFonts w:ascii="Times New Roman" w:hAnsi="Times New Roman" w:cs="Times New Roman"/>
          <w:color w:val="00B0F0"/>
        </w:rPr>
        <w:t>В</w:t>
      </w:r>
      <w:r w:rsidR="00076842">
        <w:rPr>
          <w:rFonts w:ascii="Times New Roman" w:hAnsi="Times New Roman" w:cs="Times New Roman"/>
          <w:color w:val="00B0F0"/>
          <w:lang w:val="kk-KZ"/>
        </w:rPr>
        <w:t>в</w:t>
      </w:r>
      <w:r>
        <w:rPr>
          <w:rFonts w:ascii="Times New Roman" w:hAnsi="Times New Roman" w:cs="Times New Roman"/>
          <w:color w:val="00B0F0"/>
        </w:rPr>
        <w:t>од</w:t>
      </w:r>
      <w:r w:rsidR="00076842">
        <w:rPr>
          <w:rFonts w:ascii="Times New Roman" w:hAnsi="Times New Roman" w:cs="Times New Roman"/>
          <w:color w:val="00B0F0"/>
          <w:lang w:val="kk-KZ"/>
        </w:rPr>
        <w:t>и</w:t>
      </w:r>
      <w:proofErr w:type="spellStart"/>
      <w:r w:rsidR="00FF1478">
        <w:rPr>
          <w:rFonts w:ascii="Times New Roman" w:hAnsi="Times New Roman" w:cs="Times New Roman"/>
          <w:color w:val="00B0F0"/>
        </w:rPr>
        <w:t>тся</w:t>
      </w:r>
      <w:proofErr w:type="spellEnd"/>
      <w:r w:rsidR="00FF1478">
        <w:rPr>
          <w:rFonts w:ascii="Times New Roman" w:hAnsi="Times New Roman" w:cs="Times New Roman"/>
          <w:color w:val="00B0F0"/>
        </w:rPr>
        <w:t xml:space="preserve"> </w:t>
      </w:r>
      <w:bookmarkStart w:id="0" w:name="_GoBack"/>
      <w:bookmarkEnd w:id="0"/>
      <w:r>
        <w:rPr>
          <w:rFonts w:ascii="Times New Roman" w:hAnsi="Times New Roman" w:cs="Times New Roman"/>
          <w:color w:val="00B0F0"/>
        </w:rPr>
        <w:t>в действие с 12.12.2025 г.</w:t>
      </w:r>
    </w:p>
    <w:p w14:paraId="363174C2" w14:textId="77777777"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14:paraId="2258FE7C" w14:textId="56D5F4C5" w:rsidR="006A1890" w:rsidRPr="00226BD5" w:rsidRDefault="006A1890" w:rsidP="00996BB7">
      <w:pPr>
        <w:spacing w:after="12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w:t>
      </w:r>
      <w:r w:rsidR="006717E6">
        <w:rPr>
          <w:rFonts w:ascii="Times New Roman" w:hAnsi="Times New Roman" w:cs="Times New Roman"/>
          <w:b/>
        </w:rPr>
        <w:t>обслуживания иных юридических лиц</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в тенге, если не указано иное</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w:t>
            </w:r>
          </w:p>
          <w:p w14:paraId="6AC7584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п/п</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Перечень операций/услуг</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Примечание</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Открытие, ведение и закрытие текущих счетов</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1C730752"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Открытие текущего счета </w:t>
            </w:r>
          </w:p>
        </w:tc>
        <w:tc>
          <w:tcPr>
            <w:tcW w:w="2978" w:type="dxa"/>
            <w:tcBorders>
              <w:bottom w:val="single" w:sz="12" w:space="0" w:color="E7E6E6" w:themeColor="background2"/>
            </w:tcBorders>
            <w:shd w:val="clear" w:color="auto" w:fill="auto"/>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0BF6E360"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Ведение текущего счета </w:t>
            </w: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28C943F"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Не взимается комиссия по денежным средствам, связанным с реализацией государственных и региональных программ. </w:t>
            </w:r>
            <w:r w:rsidRPr="005B77C2">
              <w:rPr>
                <w:rFonts w:ascii="Times New Roman" w:hAnsi="Times New Roman"/>
                <w:i/>
                <w:sz w:val="18"/>
                <w:szCs w:val="18"/>
              </w:rPr>
              <w:t>(пункт внесен в соответствии с Решением КБПП (Протокол №40 от 18.12.2019г.)</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w:t>
            </w:r>
            <w:r w:rsidR="001C4EDC">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555FFA18"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Открытие и ведение </w:t>
            </w:r>
            <w:proofErr w:type="spellStart"/>
            <w:r w:rsidRPr="008C2D0A">
              <w:rPr>
                <w:rFonts w:ascii="Times New Roman" w:hAnsi="Times New Roman"/>
                <w:sz w:val="20"/>
                <w:szCs w:val="20"/>
              </w:rPr>
              <w:t>эскроу</w:t>
            </w:r>
            <w:proofErr w:type="spellEnd"/>
            <w:r w:rsidRPr="008C2D0A">
              <w:rPr>
                <w:rFonts w:ascii="Times New Roman" w:hAnsi="Times New Roman"/>
                <w:sz w:val="20"/>
                <w:szCs w:val="20"/>
              </w:rPr>
              <w:t>-счета</w:t>
            </w:r>
          </w:p>
        </w:tc>
        <w:tc>
          <w:tcPr>
            <w:tcW w:w="2978" w:type="dxa"/>
            <w:tcBorders>
              <w:top w:val="single" w:sz="12" w:space="0" w:color="E7E6E6" w:themeColor="background2"/>
              <w:bottom w:val="single" w:sz="12" w:space="0" w:color="E7E6E6" w:themeColor="background2"/>
            </w:tcBorders>
            <w:shd w:val="clear" w:color="auto" w:fill="auto"/>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1E8D4BFF" w:rsidR="00700172" w:rsidRPr="008C2D0A" w:rsidRDefault="00B62F0F" w:rsidP="005B77C2">
            <w:pPr>
              <w:pStyle w:val="af"/>
              <w:rPr>
                <w:rFonts w:ascii="Times New Roman" w:hAnsi="Times New Roman"/>
                <w:sz w:val="20"/>
                <w:szCs w:val="20"/>
              </w:rPr>
            </w:pPr>
            <w:r w:rsidRPr="00F16223">
              <w:rPr>
                <w:rFonts w:ascii="Times New Roman" w:hAnsi="Times New Roman"/>
                <w:sz w:val="20"/>
                <w:szCs w:val="20"/>
              </w:rPr>
              <w:t>0,5 % от суммы зачисления</w:t>
            </w:r>
            <w:r w:rsidR="00790D95">
              <w:rPr>
                <w:rFonts w:ascii="Times New Roman" w:hAnsi="Times New Roman"/>
                <w:sz w:val="20"/>
                <w:szCs w:val="20"/>
              </w:rPr>
              <w:t xml:space="preserve"> (мин. 1 000 тенге, макс. 50 000 тенге)</w:t>
            </w:r>
          </w:p>
        </w:tc>
        <w:tc>
          <w:tcPr>
            <w:tcW w:w="2409" w:type="dxa"/>
            <w:tcBorders>
              <w:top w:val="single" w:sz="12" w:space="0" w:color="E7E6E6" w:themeColor="background2"/>
              <w:bottom w:val="single" w:sz="12" w:space="0" w:color="E7E6E6" w:themeColor="background2"/>
            </w:tcBorders>
            <w:shd w:val="clear" w:color="auto" w:fill="auto"/>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370A056F" w:rsidR="00700172" w:rsidRPr="008C2D0A" w:rsidRDefault="00700172" w:rsidP="00AC1940">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1071A20C" w14:textId="6D12348F" w:rsidR="00700172" w:rsidRPr="008C2D0A" w:rsidRDefault="00700172" w:rsidP="00146CD6">
            <w:pPr>
              <w:pStyle w:val="af"/>
              <w:rPr>
                <w:rFonts w:ascii="Times New Roman" w:hAnsi="Times New Roman"/>
                <w:sz w:val="20"/>
                <w:szCs w:val="20"/>
              </w:rPr>
            </w:pPr>
            <w:r w:rsidRPr="008C2D0A">
              <w:rPr>
                <w:rFonts w:ascii="Times New Roman" w:hAnsi="Times New Roman"/>
                <w:sz w:val="20"/>
                <w:szCs w:val="20"/>
              </w:rPr>
              <w:t>Закрытие текущего</w:t>
            </w:r>
            <w:r w:rsidR="00444747">
              <w:rPr>
                <w:rFonts w:ascii="Times New Roman" w:hAnsi="Times New Roman"/>
                <w:sz w:val="20"/>
                <w:szCs w:val="20"/>
              </w:rPr>
              <w:t xml:space="preserve">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Переводные операции</w:t>
            </w:r>
            <w:r w:rsidR="00B62F0F">
              <w:rPr>
                <w:rFonts w:ascii="Times New Roman" w:hAnsi="Times New Roman"/>
                <w:b/>
                <w:sz w:val="20"/>
                <w:szCs w:val="20"/>
              </w:rPr>
              <w:t xml:space="preserve"> </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5746AB6"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Внешний перевод</w:t>
            </w:r>
          </w:p>
        </w:tc>
        <w:tc>
          <w:tcPr>
            <w:tcW w:w="2978" w:type="dxa"/>
            <w:tcBorders>
              <w:top w:val="single" w:sz="12" w:space="0" w:color="E7E6E6" w:themeColor="background2"/>
              <w:bottom w:val="single" w:sz="12" w:space="0" w:color="E7E6E6" w:themeColor="background2"/>
            </w:tcBorders>
            <w:shd w:val="clear" w:color="auto" w:fill="auto"/>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08D3A805" w14:textId="1759DCE1" w:rsidR="008A6CBE" w:rsidRPr="008A6CBE" w:rsidRDefault="008A6CBE" w:rsidP="005B77C2">
            <w:pPr>
              <w:pStyle w:val="af"/>
              <w:rPr>
                <w:rFonts w:ascii="Times New Roman" w:hAnsi="Times New Roman"/>
                <w:sz w:val="20"/>
                <w:szCs w:val="20"/>
                <w:highlight w:val="yellow"/>
              </w:rPr>
            </w:pPr>
            <w:proofErr w:type="spellStart"/>
            <w:r w:rsidRPr="00F16223">
              <w:rPr>
                <w:rFonts w:ascii="Times New Roman" w:hAnsi="Times New Roman"/>
                <w:sz w:val="20"/>
                <w:szCs w:val="20"/>
              </w:rPr>
              <w:t>электронно</w:t>
            </w:r>
            <w:proofErr w:type="spellEnd"/>
            <w:r w:rsidRPr="00F16223">
              <w:rPr>
                <w:rFonts w:ascii="Times New Roman" w:hAnsi="Times New Roman"/>
                <w:sz w:val="20"/>
                <w:szCs w:val="20"/>
              </w:rPr>
              <w:t>, по ЖССБ Онлайн</w:t>
            </w:r>
          </w:p>
        </w:tc>
        <w:tc>
          <w:tcPr>
            <w:tcW w:w="2978" w:type="dxa"/>
            <w:tcBorders>
              <w:top w:val="single" w:sz="12" w:space="0" w:color="E7E6E6" w:themeColor="background2"/>
              <w:bottom w:val="single" w:sz="12" w:space="0" w:color="E7E6E6" w:themeColor="background2"/>
            </w:tcBorders>
            <w:shd w:val="clear" w:color="auto" w:fill="auto"/>
            <w:vAlign w:val="center"/>
          </w:tcPr>
          <w:p w14:paraId="3AE18914" w14:textId="0350B17C" w:rsidR="008A6CBE" w:rsidRPr="008A6CBE" w:rsidRDefault="00146CD6" w:rsidP="00F27357">
            <w:pPr>
              <w:pStyle w:val="af"/>
              <w:rPr>
                <w:rFonts w:ascii="Times New Roman" w:hAnsi="Times New Roman"/>
                <w:sz w:val="20"/>
                <w:szCs w:val="20"/>
                <w:highlight w:val="yellow"/>
              </w:rPr>
            </w:pPr>
            <w:r w:rsidRPr="00146CD6">
              <w:rPr>
                <w:rFonts w:ascii="Times New Roman" w:hAnsi="Times New Roman"/>
                <w:sz w:val="20"/>
                <w:szCs w:val="20"/>
              </w:rPr>
              <w:t>0,</w:t>
            </w:r>
            <w:r w:rsidR="00236C48">
              <w:rPr>
                <w:rFonts w:ascii="Times New Roman" w:hAnsi="Times New Roman"/>
                <w:sz w:val="20"/>
                <w:szCs w:val="20"/>
              </w:rPr>
              <w:t>5</w:t>
            </w:r>
            <w:r w:rsidRPr="00146CD6">
              <w:rPr>
                <w:rFonts w:ascii="Times New Roman" w:hAnsi="Times New Roman"/>
                <w:sz w:val="20"/>
                <w:szCs w:val="20"/>
              </w:rPr>
              <w:t xml:space="preserve"> % от суммы</w:t>
            </w:r>
            <w:r w:rsidR="00236C48">
              <w:rPr>
                <w:rFonts w:ascii="Times New Roman" w:hAnsi="Times New Roman"/>
                <w:sz w:val="20"/>
                <w:szCs w:val="20"/>
              </w:rPr>
              <w:t xml:space="preserve"> перевода </w:t>
            </w:r>
            <w:r w:rsidRPr="00146CD6">
              <w:rPr>
                <w:rFonts w:ascii="Times New Roman" w:eastAsia="Calibri" w:hAnsi="Times New Roman"/>
                <w:sz w:val="20"/>
                <w:szCs w:val="20"/>
                <w:lang w:eastAsia="en-US"/>
              </w:rPr>
              <w:t xml:space="preserve"> </w:t>
            </w:r>
          </w:p>
        </w:tc>
        <w:tc>
          <w:tcPr>
            <w:tcW w:w="2409" w:type="dxa"/>
            <w:tcBorders>
              <w:top w:val="single" w:sz="12" w:space="0" w:color="E7E6E6" w:themeColor="background2"/>
              <w:bottom w:val="single" w:sz="12" w:space="0" w:color="E7E6E6" w:themeColor="background2"/>
            </w:tcBorders>
            <w:shd w:val="clear" w:color="auto" w:fill="auto"/>
            <w:vAlign w:val="center"/>
          </w:tcPr>
          <w:p w14:paraId="7954A61E" w14:textId="6A2407D7" w:rsidR="008A6CBE" w:rsidRPr="008A6CBE" w:rsidRDefault="004170DA" w:rsidP="00236C48">
            <w:pPr>
              <w:pStyle w:val="af"/>
              <w:rPr>
                <w:rFonts w:ascii="Times New Roman" w:hAnsi="Times New Roman"/>
                <w:sz w:val="20"/>
                <w:szCs w:val="20"/>
                <w:highlight w:val="yellow"/>
              </w:rPr>
            </w:pPr>
            <w:r>
              <w:rPr>
                <w:rFonts w:ascii="Times New Roman" w:hAnsi="Times New Roman"/>
                <w:sz w:val="20"/>
                <w:szCs w:val="20"/>
              </w:rPr>
              <w:t>.</w:t>
            </w:r>
            <w:r w:rsidR="00146CD6" w:rsidRPr="00F16223">
              <w:rPr>
                <w:rFonts w:ascii="Times New Roman" w:hAnsi="Times New Roman"/>
                <w:sz w:val="20"/>
                <w:szCs w:val="20"/>
              </w:rPr>
              <w:t xml:space="preserve"> </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4582CFB2" w14:textId="38BBEECA" w:rsidR="008A6CBE" w:rsidRPr="005B77C2" w:rsidRDefault="008A6CBE" w:rsidP="00F16223">
            <w:pPr>
              <w:pStyle w:val="af"/>
              <w:jc w:val="both"/>
              <w:rPr>
                <w:rFonts w:ascii="Times New Roman" w:hAnsi="Times New Roman"/>
                <w:sz w:val="20"/>
                <w:szCs w:val="20"/>
              </w:rPr>
            </w:pPr>
            <w:r w:rsidRPr="005B77C2">
              <w:rPr>
                <w:rFonts w:ascii="Times New Roman" w:hAnsi="Times New Roman"/>
                <w:sz w:val="20"/>
                <w:szCs w:val="20"/>
              </w:rPr>
              <w:t>на бумажном носителе</w:t>
            </w:r>
          </w:p>
        </w:tc>
        <w:tc>
          <w:tcPr>
            <w:tcW w:w="2978" w:type="dxa"/>
            <w:tcBorders>
              <w:top w:val="single" w:sz="12" w:space="0" w:color="E7E6E6" w:themeColor="background2"/>
              <w:bottom w:val="single" w:sz="12" w:space="0" w:color="E7E6E6" w:themeColor="background2"/>
            </w:tcBorders>
            <w:shd w:val="clear" w:color="auto" w:fill="auto"/>
            <w:vAlign w:val="center"/>
          </w:tcPr>
          <w:p w14:paraId="4666AE1D" w14:textId="76523DEB" w:rsidR="008A6CBE" w:rsidRPr="00F16223" w:rsidRDefault="00146CD6" w:rsidP="00F27357">
            <w:pPr>
              <w:pStyle w:val="af"/>
              <w:rPr>
                <w:rFonts w:ascii="Times New Roman" w:hAnsi="Times New Roman"/>
                <w:sz w:val="20"/>
                <w:szCs w:val="20"/>
              </w:rPr>
            </w:pPr>
            <w:r w:rsidRPr="00146CD6">
              <w:rPr>
                <w:rFonts w:ascii="Times New Roman" w:hAnsi="Times New Roman"/>
                <w:sz w:val="20"/>
                <w:szCs w:val="20"/>
              </w:rPr>
              <w:t>0</w:t>
            </w:r>
            <w:r w:rsidR="00236C48">
              <w:rPr>
                <w:rFonts w:ascii="Times New Roman" w:hAnsi="Times New Roman"/>
                <w:sz w:val="20"/>
                <w:szCs w:val="20"/>
              </w:rPr>
              <w:t>5</w:t>
            </w:r>
            <w:r w:rsidRPr="00146CD6">
              <w:rPr>
                <w:rFonts w:ascii="Times New Roman" w:hAnsi="Times New Roman"/>
                <w:sz w:val="20"/>
                <w:szCs w:val="20"/>
              </w:rPr>
              <w:t xml:space="preserve"> % от суммы</w:t>
            </w:r>
            <w:r w:rsidR="00236C48">
              <w:rPr>
                <w:rFonts w:ascii="Times New Roman" w:hAnsi="Times New Roman"/>
                <w:sz w:val="20"/>
                <w:szCs w:val="20"/>
              </w:rPr>
              <w:t xml:space="preserve"> перевода </w:t>
            </w:r>
            <w:r w:rsidRPr="00F16223">
              <w:rPr>
                <w:rFonts w:ascii="Times New Roman" w:eastAsia="Calibri" w:hAnsi="Times New Roman"/>
                <w:sz w:val="20"/>
                <w:szCs w:val="20"/>
                <w:lang w:eastAsia="en-US"/>
              </w:rPr>
              <w:t xml:space="preserve"> </w:t>
            </w:r>
          </w:p>
        </w:tc>
        <w:tc>
          <w:tcPr>
            <w:tcW w:w="2409" w:type="dxa"/>
            <w:tcBorders>
              <w:top w:val="single" w:sz="12" w:space="0" w:color="E7E6E6" w:themeColor="background2"/>
              <w:bottom w:val="single" w:sz="12" w:space="0" w:color="E7E6E6" w:themeColor="background2"/>
            </w:tcBorders>
            <w:shd w:val="clear" w:color="auto" w:fill="auto"/>
            <w:vAlign w:val="center"/>
          </w:tcPr>
          <w:p w14:paraId="6C326F31" w14:textId="1A214E40" w:rsidR="008A6CBE" w:rsidRPr="00F16223" w:rsidRDefault="004170DA" w:rsidP="00236C48">
            <w:pPr>
              <w:pStyle w:val="af"/>
              <w:rPr>
                <w:rFonts w:ascii="Times New Roman" w:hAnsi="Times New Roman"/>
                <w:sz w:val="20"/>
                <w:szCs w:val="20"/>
              </w:rPr>
            </w:pPr>
            <w:r>
              <w:rPr>
                <w:rFonts w:ascii="Times New Roman" w:hAnsi="Times New Roman"/>
                <w:sz w:val="20"/>
                <w:szCs w:val="20"/>
              </w:rPr>
              <w:t>.</w:t>
            </w:r>
            <w:r w:rsidR="00146CD6" w:rsidRPr="00F16223">
              <w:rPr>
                <w:rFonts w:ascii="Times New Roman" w:hAnsi="Times New Roman"/>
                <w:sz w:val="20"/>
                <w:szCs w:val="20"/>
              </w:rPr>
              <w:t xml:space="preserve"> </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4705C562" w14:textId="77777777" w:rsidR="00700172" w:rsidRPr="008C2D0A" w:rsidRDefault="00700172" w:rsidP="00700172">
            <w:pPr>
              <w:pStyle w:val="af"/>
              <w:rPr>
                <w:rFonts w:ascii="Times New Roman" w:hAnsi="Times New Roman"/>
                <w:strike/>
                <w:sz w:val="20"/>
                <w:szCs w:val="20"/>
              </w:rPr>
            </w:pPr>
            <w:r w:rsidRPr="008C2D0A">
              <w:rPr>
                <w:rFonts w:ascii="Times New Roman" w:hAnsi="Times New Roman"/>
                <w:sz w:val="20"/>
                <w:szCs w:val="20"/>
              </w:rPr>
              <w:t xml:space="preserve">Внутрибанковский перевод </w:t>
            </w: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shd w:val="clear" w:color="auto" w:fill="auto"/>
            <w:vAlign w:val="center"/>
          </w:tcPr>
          <w:p w14:paraId="250B4308" w14:textId="77777777" w:rsidR="00700172" w:rsidRPr="008C2D0A" w:rsidRDefault="00700172" w:rsidP="00700172">
            <w:pPr>
              <w:pStyle w:val="af"/>
              <w:rPr>
                <w:rFonts w:ascii="Times New Roman" w:hAnsi="Times New Roman"/>
                <w:sz w:val="20"/>
                <w:szCs w:val="20"/>
                <w:highlight w:val="yellow"/>
              </w:rPr>
            </w:pPr>
            <w:r w:rsidRPr="008C2D0A">
              <w:rPr>
                <w:rFonts w:ascii="Times New Roman" w:hAnsi="Times New Roman"/>
                <w:sz w:val="20"/>
                <w:szCs w:val="20"/>
              </w:rPr>
              <w:t>Отзыв платежного поручения по инициативе клиента до исполнения указания Банком (аннулирование платежа)</w:t>
            </w:r>
          </w:p>
        </w:tc>
        <w:tc>
          <w:tcPr>
            <w:tcW w:w="2978" w:type="dxa"/>
            <w:tcBorders>
              <w:top w:val="single" w:sz="12" w:space="0" w:color="E7E6E6" w:themeColor="background2"/>
              <w:bottom w:val="single" w:sz="12" w:space="0" w:color="E7E6E6" w:themeColor="background2"/>
            </w:tcBorders>
            <w:shd w:val="clear" w:color="auto" w:fill="auto"/>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 xml:space="preserve">Кассовые операции </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68E787BC"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Выдача наличных денег </w:t>
            </w:r>
          </w:p>
        </w:tc>
        <w:tc>
          <w:tcPr>
            <w:tcW w:w="2978" w:type="dxa"/>
            <w:tcBorders>
              <w:bottom w:val="single" w:sz="12" w:space="0" w:color="E7E6E6" w:themeColor="background2"/>
            </w:tcBorders>
            <w:shd w:val="clear" w:color="auto" w:fill="D9D9D9"/>
            <w:vAlign w:val="center"/>
          </w:tcPr>
          <w:p w14:paraId="154F15C9"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выданной наличности</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9B2BA9B"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Прием наличных денег </w:t>
            </w:r>
          </w:p>
        </w:tc>
        <w:tc>
          <w:tcPr>
            <w:tcW w:w="2978" w:type="dxa"/>
            <w:tcBorders>
              <w:top w:val="single" w:sz="12" w:space="0" w:color="E7E6E6" w:themeColor="background2"/>
              <w:bottom w:val="single" w:sz="12" w:space="0" w:color="E7E6E6" w:themeColor="background2"/>
            </w:tcBorders>
            <w:shd w:val="clear" w:color="auto" w:fill="auto"/>
            <w:vAlign w:val="center"/>
          </w:tcPr>
          <w:p w14:paraId="18ADAE3E"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зачисления</w:t>
            </w:r>
          </w:p>
        </w:tc>
        <w:tc>
          <w:tcPr>
            <w:tcW w:w="2409" w:type="dxa"/>
            <w:tcBorders>
              <w:top w:val="single" w:sz="12" w:space="0" w:color="E7E6E6" w:themeColor="background2"/>
              <w:bottom w:val="single" w:sz="12" w:space="0" w:color="E7E6E6" w:themeColor="background2"/>
            </w:tcBorders>
            <w:shd w:val="clear" w:color="auto" w:fill="auto"/>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Справки / дубликаты</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дубликата выписки о состоянии текущего счета и/или приложений к выписке о состоянии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за каждый лист</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Предоставление справки, связанной с обслуживанием счета в Банке*</w:t>
            </w:r>
          </w:p>
        </w:tc>
        <w:tc>
          <w:tcPr>
            <w:tcW w:w="2978" w:type="dxa"/>
            <w:tcBorders>
              <w:top w:val="single" w:sz="12" w:space="0" w:color="E7E6E6" w:themeColor="background2"/>
              <w:bottom w:val="single" w:sz="12" w:space="0" w:color="E7E6E6" w:themeColor="background2"/>
            </w:tcBorders>
            <w:shd w:val="clear" w:color="auto" w:fill="auto"/>
            <w:vAlign w:val="center"/>
          </w:tcPr>
          <w:p w14:paraId="36FDA564"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auto"/>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lastRenderedPageBreak/>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дубликатов договоров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Переоформление документов в связи с изменением реквизитов клиента (внесение изменений в юридическое дело) *</w:t>
            </w:r>
          </w:p>
        </w:tc>
        <w:tc>
          <w:tcPr>
            <w:tcW w:w="2978" w:type="dxa"/>
            <w:shd w:val="clear" w:color="auto" w:fill="auto"/>
            <w:vAlign w:val="center"/>
          </w:tcPr>
          <w:p w14:paraId="6E50D1C7"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2 000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shd w:val="clear" w:color="auto" w:fill="auto"/>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2B771" w14:textId="77777777" w:rsidR="00E07E35" w:rsidRDefault="00E07E35" w:rsidP="00186C3F">
      <w:pPr>
        <w:spacing w:after="0" w:line="240" w:lineRule="auto"/>
      </w:pPr>
      <w:r>
        <w:separator/>
      </w:r>
    </w:p>
  </w:endnote>
  <w:endnote w:type="continuationSeparator" w:id="0">
    <w:p w14:paraId="498F4957" w14:textId="77777777" w:rsidR="00E07E35" w:rsidRDefault="00E07E35"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FF1478">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F1478">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316D4" w14:textId="77777777" w:rsidR="00E07E35" w:rsidRDefault="00E07E35" w:rsidP="00186C3F">
      <w:pPr>
        <w:spacing w:after="0" w:line="240" w:lineRule="auto"/>
      </w:pPr>
      <w:r>
        <w:separator/>
      </w:r>
    </w:p>
  </w:footnote>
  <w:footnote w:type="continuationSeparator" w:id="0">
    <w:p w14:paraId="2B77A03B" w14:textId="77777777" w:rsidR="00E07E35" w:rsidRDefault="00E07E35"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4AE1"/>
    <w:rsid w:val="000077E9"/>
    <w:rsid w:val="00012E0F"/>
    <w:rsid w:val="00013FA6"/>
    <w:rsid w:val="0001709F"/>
    <w:rsid w:val="00022163"/>
    <w:rsid w:val="0002327B"/>
    <w:rsid w:val="0003195B"/>
    <w:rsid w:val="000463EB"/>
    <w:rsid w:val="0005507B"/>
    <w:rsid w:val="000566D0"/>
    <w:rsid w:val="00056810"/>
    <w:rsid w:val="000628CC"/>
    <w:rsid w:val="00063468"/>
    <w:rsid w:val="00073A0C"/>
    <w:rsid w:val="00074242"/>
    <w:rsid w:val="000768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0F7102"/>
    <w:rsid w:val="0010197E"/>
    <w:rsid w:val="00105DEC"/>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6E8C"/>
    <w:rsid w:val="001D7D37"/>
    <w:rsid w:val="001F33FC"/>
    <w:rsid w:val="001F4596"/>
    <w:rsid w:val="00201D85"/>
    <w:rsid w:val="002067C0"/>
    <w:rsid w:val="00207852"/>
    <w:rsid w:val="00211B46"/>
    <w:rsid w:val="002132AD"/>
    <w:rsid w:val="0021618E"/>
    <w:rsid w:val="00226BD5"/>
    <w:rsid w:val="00235201"/>
    <w:rsid w:val="002368A1"/>
    <w:rsid w:val="00236C48"/>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44C8D"/>
    <w:rsid w:val="00350E07"/>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47576"/>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0B9"/>
    <w:rsid w:val="00506292"/>
    <w:rsid w:val="00524A47"/>
    <w:rsid w:val="00526306"/>
    <w:rsid w:val="005346D4"/>
    <w:rsid w:val="00536DE9"/>
    <w:rsid w:val="005477E9"/>
    <w:rsid w:val="00551D6A"/>
    <w:rsid w:val="0055352A"/>
    <w:rsid w:val="00562893"/>
    <w:rsid w:val="00592B5D"/>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4C14"/>
    <w:rsid w:val="006024EE"/>
    <w:rsid w:val="00610418"/>
    <w:rsid w:val="0061201C"/>
    <w:rsid w:val="00620166"/>
    <w:rsid w:val="00620E12"/>
    <w:rsid w:val="00626417"/>
    <w:rsid w:val="006322E0"/>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A25"/>
    <w:rsid w:val="00700172"/>
    <w:rsid w:val="00700DE7"/>
    <w:rsid w:val="007015F2"/>
    <w:rsid w:val="00705E98"/>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B042C"/>
    <w:rsid w:val="00AB6541"/>
    <w:rsid w:val="00AC16FF"/>
    <w:rsid w:val="00AC1940"/>
    <w:rsid w:val="00AC71C7"/>
    <w:rsid w:val="00AD2298"/>
    <w:rsid w:val="00AD5C41"/>
    <w:rsid w:val="00AE0EBB"/>
    <w:rsid w:val="00AE29A7"/>
    <w:rsid w:val="00AE2C10"/>
    <w:rsid w:val="00AE33B1"/>
    <w:rsid w:val="00AE5D91"/>
    <w:rsid w:val="00AF110A"/>
    <w:rsid w:val="00AF1FD0"/>
    <w:rsid w:val="00AF7069"/>
    <w:rsid w:val="00B10D4F"/>
    <w:rsid w:val="00B14381"/>
    <w:rsid w:val="00B15668"/>
    <w:rsid w:val="00B27D0D"/>
    <w:rsid w:val="00B34F6B"/>
    <w:rsid w:val="00B41AC4"/>
    <w:rsid w:val="00B42939"/>
    <w:rsid w:val="00B455FA"/>
    <w:rsid w:val="00B62F0F"/>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E40D7"/>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411F"/>
    <w:rsid w:val="00D37F0A"/>
    <w:rsid w:val="00D43FF7"/>
    <w:rsid w:val="00D502F2"/>
    <w:rsid w:val="00D50C67"/>
    <w:rsid w:val="00D6586C"/>
    <w:rsid w:val="00D75A3B"/>
    <w:rsid w:val="00D76E0C"/>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07E35"/>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67C1"/>
    <w:rsid w:val="00E96DC5"/>
    <w:rsid w:val="00EA01E0"/>
    <w:rsid w:val="00EA3E38"/>
    <w:rsid w:val="00EA4496"/>
    <w:rsid w:val="00EB510F"/>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27357"/>
    <w:rsid w:val="00F343F1"/>
    <w:rsid w:val="00F55466"/>
    <w:rsid w:val="00F55772"/>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1478"/>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EAB6-A4D1-4C0F-A410-176C50C2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4</cp:revision>
  <cp:lastPrinted>2022-08-12T05:40:00Z</cp:lastPrinted>
  <dcterms:created xsi:type="dcterms:W3CDTF">2025-12-02T04:03:00Z</dcterms:created>
  <dcterms:modified xsi:type="dcterms:W3CDTF">2025-12-02T06:45:00Z</dcterms:modified>
</cp:coreProperties>
</file>